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1E018A">
        <w:t>Четвертый позвонок</w:t>
      </w:r>
      <w:r w:rsidR="00C17F91" w:rsidRPr="00C17F91">
        <w:t>»</w:t>
      </w:r>
    </w:p>
    <w:p w:rsidR="000B78AA" w:rsidRPr="0016125F" w:rsidRDefault="001E018A" w:rsidP="00745AB3">
      <w:pPr>
        <w:ind w:left="-709" w:firstLine="709"/>
        <w:jc w:val="right"/>
      </w:pPr>
      <w:r>
        <w:t>Вертен Э.О.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A03B84">
        <w:rPr>
          <w:rFonts w:ascii="Times New Roman" w:hAnsi="Times New Roman"/>
          <w:b/>
        </w:rPr>
        <w:t xml:space="preserve">Клиника </w:t>
      </w:r>
      <w:r w:rsidR="00E91FDE">
        <w:rPr>
          <w:rFonts w:ascii="Times New Roman" w:hAnsi="Times New Roman"/>
          <w:b/>
        </w:rPr>
        <w:t>мануальной медицины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 xml:space="preserve">7 </w:t>
      </w:r>
      <w:r w:rsidR="00FD10D3">
        <w:rPr>
          <w:rFonts w:ascii="Times New Roman" w:hAnsi="Times New Roman"/>
        </w:rPr>
        <w:t>(</w:t>
      </w:r>
      <w:r w:rsidR="000C3C58">
        <w:rPr>
          <w:rFonts w:ascii="Times New Roman" w:hAnsi="Times New Roman"/>
        </w:rPr>
        <w:t xml:space="preserve">499) </w:t>
      </w:r>
      <w:bookmarkStart w:id="0" w:name="_GoBack"/>
      <w:bookmarkEnd w:id="0"/>
      <w:r w:rsidR="00E91FDE" w:rsidRPr="00E91FDE">
        <w:rPr>
          <w:rFonts w:ascii="Times New Roman" w:hAnsi="Times New Roman"/>
        </w:rPr>
        <w:t>500-45-25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lastRenderedPageBreak/>
        <w:t>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53C71"/>
    <w:rsid w:val="00660F38"/>
    <w:rsid w:val="006740EB"/>
    <w:rsid w:val="00677EA7"/>
    <w:rsid w:val="006F3970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7873"/>
    <w:rsid w:val="00A33653"/>
    <w:rsid w:val="00A550AB"/>
    <w:rsid w:val="00A842DE"/>
    <w:rsid w:val="00AB4392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72CAA"/>
    <w:rsid w:val="00D874B1"/>
    <w:rsid w:val="00DF22FD"/>
    <w:rsid w:val="00E12015"/>
    <w:rsid w:val="00E91FDE"/>
    <w:rsid w:val="00EA5CDE"/>
    <w:rsid w:val="00ED3AEA"/>
    <w:rsid w:val="00F6535F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2018-01-10T14:38:00Z</dcterms:created>
  <dcterms:modified xsi:type="dcterms:W3CDTF">2018-01-10T14:38:00Z</dcterms:modified>
</cp:coreProperties>
</file>