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95C9" w14:textId="77777777" w:rsidR="00946F50" w:rsidRPr="00946F50" w:rsidRDefault="00946F50">
      <w:pPr>
        <w:pStyle w:val="ConsPlusTitle"/>
        <w:jc w:val="center"/>
        <w:outlineLvl w:val="0"/>
        <w:rPr>
          <w:i/>
        </w:rPr>
      </w:pPr>
      <w:bookmarkStart w:id="0" w:name="_GoBack"/>
      <w:bookmarkEnd w:id="0"/>
      <w:r w:rsidRPr="00946F50">
        <w:rPr>
          <w:i/>
        </w:rPr>
        <w:t xml:space="preserve">Постановление Правительства РФ от 28.12.2020 N 2299 (ред. от 11.03.2021) "О Программе государственных гарантий бесплатного оказания гражданам медицинской помощи на 2021 год и на плановый период 2022 и 2023 годов" </w:t>
      </w:r>
    </w:p>
    <w:p w14:paraId="0ACD19DD" w14:textId="77777777" w:rsidR="00946F50" w:rsidRDefault="00946F50">
      <w:pPr>
        <w:pStyle w:val="ConsPlusTitle"/>
        <w:jc w:val="center"/>
        <w:outlineLvl w:val="0"/>
      </w:pPr>
    </w:p>
    <w:p w14:paraId="7965DE97" w14:textId="77777777" w:rsidR="00946F50" w:rsidRDefault="00946F50">
      <w:pPr>
        <w:pStyle w:val="ConsPlusTitle"/>
        <w:jc w:val="center"/>
        <w:outlineLvl w:val="0"/>
      </w:pPr>
      <w:r>
        <w:t>IX. Критерии доступности и качества медицинской помощи</w:t>
      </w:r>
    </w:p>
    <w:p w14:paraId="5419469B" w14:textId="77777777" w:rsidR="00946F50" w:rsidRDefault="00946F50">
      <w:pPr>
        <w:pStyle w:val="ConsPlusNormal"/>
        <w:jc w:val="both"/>
      </w:pPr>
    </w:p>
    <w:p w14:paraId="68B69CF8" w14:textId="77777777" w:rsidR="00946F50" w:rsidRDefault="00946F50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14:paraId="40B0CF2E" w14:textId="77777777" w:rsidR="00946F50" w:rsidRDefault="00946F50">
      <w:pPr>
        <w:pStyle w:val="ConsPlusNormal"/>
        <w:spacing w:before="22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14:paraId="5A08DF91" w14:textId="77777777" w:rsidR="00946F50" w:rsidRDefault="00946F50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14:paraId="21759EEF" w14:textId="77777777" w:rsidR="00946F50" w:rsidRDefault="00946F50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14:paraId="385F07D3" w14:textId="77777777" w:rsidR="00946F50" w:rsidRDefault="00946F50">
      <w:pPr>
        <w:pStyle w:val="ConsPlusNormal"/>
        <w:spacing w:before="22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14:paraId="30BBEAB1" w14:textId="77777777" w:rsidR="00946F50" w:rsidRDefault="00946F50">
      <w:pPr>
        <w:pStyle w:val="ConsPlusNormal"/>
        <w:spacing w:before="22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14:paraId="34275541" w14:textId="77777777" w:rsidR="00946F50" w:rsidRDefault="00946F50">
      <w:pPr>
        <w:pStyle w:val="ConsPlusNormal"/>
        <w:spacing w:before="22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14:paraId="63FE66FE" w14:textId="77777777" w:rsidR="00946F50" w:rsidRDefault="00946F50">
      <w:pPr>
        <w:pStyle w:val="ConsPlusNormal"/>
        <w:spacing w:before="22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</w:r>
    </w:p>
    <w:p w14:paraId="31C209F2" w14:textId="77777777" w:rsidR="00946F50" w:rsidRDefault="00946F50">
      <w:pPr>
        <w:pStyle w:val="ConsPlusNormal"/>
        <w:spacing w:before="220"/>
        <w:ind w:firstLine="540"/>
        <w:jc w:val="both"/>
      </w:pPr>
      <w:r>
        <w:t>Критериями качества медицинской помощи являются:</w:t>
      </w:r>
    </w:p>
    <w:p w14:paraId="7C04636D" w14:textId="77777777" w:rsidR="00946F50" w:rsidRDefault="00946F50">
      <w:pPr>
        <w:pStyle w:val="ConsPlusNormal"/>
        <w:spacing w:before="22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14:paraId="4F67369F" w14:textId="77777777" w:rsidR="00946F50" w:rsidRDefault="00946F50">
      <w:pPr>
        <w:pStyle w:val="ConsPlusNormal"/>
        <w:spacing w:before="22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14:paraId="45A74C80" w14:textId="77777777" w:rsidR="00946F50" w:rsidRDefault="00946F50">
      <w:pPr>
        <w:pStyle w:val="ConsPlusNormal"/>
        <w:spacing w:before="22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14:paraId="3E2EA311" w14:textId="77777777" w:rsidR="00946F50" w:rsidRDefault="00946F50">
      <w:pPr>
        <w:pStyle w:val="ConsPlusNormal"/>
        <w:spacing w:before="22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14:paraId="1E32917A" w14:textId="77777777" w:rsidR="00946F50" w:rsidRDefault="00946F50">
      <w:pPr>
        <w:pStyle w:val="ConsPlusNormal"/>
        <w:spacing w:before="22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14:paraId="1503C80B" w14:textId="77777777" w:rsidR="00946F50" w:rsidRDefault="00946F50">
      <w:pPr>
        <w:pStyle w:val="ConsPlusNormal"/>
        <w:spacing w:before="220"/>
        <w:ind w:firstLine="540"/>
        <w:jc w:val="both"/>
      </w:pPr>
      <w:r>
        <w:lastRenderedPageBreak/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14:paraId="4D1E15DA" w14:textId="77777777" w:rsidR="00946F50" w:rsidRDefault="00946F50">
      <w:pPr>
        <w:pStyle w:val="ConsPlusNormal"/>
        <w:spacing w:before="22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14:paraId="16392D75" w14:textId="77777777" w:rsidR="00946F50" w:rsidRDefault="00946F50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14:paraId="2A918C24" w14:textId="77777777" w:rsidR="00946F50" w:rsidRDefault="00946F50">
      <w:pPr>
        <w:pStyle w:val="ConsPlusNormal"/>
        <w:spacing w:before="22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14:paraId="2CBA021E" w14:textId="77777777" w:rsidR="00946F50" w:rsidRDefault="00946F50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14:paraId="76F005D9" w14:textId="77777777" w:rsidR="00946F50" w:rsidRDefault="00946F50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14:paraId="711D4493" w14:textId="77777777" w:rsidR="00946F50" w:rsidRDefault="00946F50">
      <w:pPr>
        <w:pStyle w:val="ConsPlusNormal"/>
        <w:spacing w:before="22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14:paraId="0ADCA73A" w14:textId="77777777" w:rsidR="00946F50" w:rsidRDefault="00946F50">
      <w:pPr>
        <w:pStyle w:val="ConsPlusNormal"/>
        <w:spacing w:before="22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</w:t>
      </w:r>
    </w:p>
    <w:p w14:paraId="4E081E3B" w14:textId="77777777" w:rsidR="00946F50" w:rsidRDefault="00946F50">
      <w:pPr>
        <w:pStyle w:val="ConsPlusNormal"/>
        <w:spacing w:before="220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287CA62F" w14:textId="77777777" w:rsidR="00946F50" w:rsidRDefault="00946F50">
      <w:pPr>
        <w:pStyle w:val="ConsPlusNormal"/>
        <w:spacing w:before="22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4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5" w:history="1">
        <w:r>
          <w:rPr>
            <w:color w:val="0000FF"/>
          </w:rPr>
          <w:t>"Демография"</w:t>
        </w:r>
      </w:hyperlink>
      <w:r>
        <w:t>.</w:t>
      </w:r>
    </w:p>
    <w:p w14:paraId="5100305D" w14:textId="77777777" w:rsidR="00946F50" w:rsidRDefault="00946F50">
      <w:pPr>
        <w:pStyle w:val="ConsPlusNormal"/>
        <w:spacing w:before="22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14:paraId="0F4C5114" w14:textId="77777777" w:rsidR="00946F50" w:rsidRDefault="00946F50">
      <w:pPr>
        <w:pStyle w:val="ConsPlusNormal"/>
        <w:spacing w:before="22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14:paraId="7DCF3850" w14:textId="77777777" w:rsidR="00946F50" w:rsidRDefault="00946F50">
      <w:pPr>
        <w:pStyle w:val="ConsPlusNormal"/>
        <w:spacing w:before="220"/>
        <w:ind w:firstLine="540"/>
        <w:jc w:val="both"/>
      </w:pPr>
      <w:r>
        <w:t xml:space="preserve">доля объема специализированной, в том числе высокотехнологичной, медицинской помощи, с коэффициентом относительной </w:t>
      </w:r>
      <w:proofErr w:type="spellStart"/>
      <w:r>
        <w:t>затратоемкости</w:t>
      </w:r>
      <w:proofErr w:type="spellEnd"/>
      <w:r>
        <w:t>, равным 2 и более, в объеме оказанной специализированной, в том числе высокотехнологичной, медицинской помощи (в 2021 году - не менее 60 процентов, в 2022 и 2023 годах - не менее 70 процентов);</w:t>
      </w:r>
    </w:p>
    <w:p w14:paraId="11B06348" w14:textId="77777777" w:rsidR="00946F50" w:rsidRDefault="00946F50">
      <w:pPr>
        <w:pStyle w:val="ConsPlusNormal"/>
        <w:spacing w:before="220"/>
        <w:ind w:firstLine="540"/>
        <w:jc w:val="both"/>
      </w:pPr>
      <w:r>
        <w:lastRenderedPageBreak/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14:paraId="36DD6B57" w14:textId="77777777" w:rsidR="00946F50" w:rsidRDefault="00946F50">
      <w:pPr>
        <w:pStyle w:val="ConsPlusNormal"/>
        <w:jc w:val="both"/>
      </w:pPr>
    </w:p>
    <w:p w14:paraId="676BCC8F" w14:textId="77777777" w:rsidR="00946F50" w:rsidRDefault="00946F50">
      <w:pPr>
        <w:pStyle w:val="ConsPlusNormal"/>
        <w:jc w:val="both"/>
      </w:pPr>
    </w:p>
    <w:p w14:paraId="2D936FA1" w14:textId="77777777" w:rsidR="00946F50" w:rsidRDefault="009E2C2C">
      <w:pPr>
        <w:pStyle w:val="ConsPlusNormal"/>
      </w:pPr>
      <w:hyperlink r:id="rId6" w:history="1">
        <w:r w:rsidR="00946F50">
          <w:rPr>
            <w:i/>
            <w:color w:val="0000FF"/>
          </w:rPr>
          <w:br/>
        </w:r>
      </w:hyperlink>
      <w:r w:rsidR="00946F50">
        <w:br/>
      </w:r>
    </w:p>
    <w:p w14:paraId="0C2E39A0" w14:textId="77777777" w:rsidR="00440BC5" w:rsidRDefault="00440BC5"/>
    <w:sectPr w:rsidR="00440BC5" w:rsidSect="00FC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50"/>
    <w:rsid w:val="00440BC5"/>
    <w:rsid w:val="006D42ED"/>
    <w:rsid w:val="00946F50"/>
    <w:rsid w:val="009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E96"/>
  <w15:chartTrackingRefBased/>
  <w15:docId w15:val="{9D10AE00-03C3-4A4F-A167-5960FDA5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517DA6817C8CCC8B3CDC5CB740AE009EBD96BD8BD2FBC2D8ACCC906835141156323A84C3BEAE7E614F9E9D5278932C3B39BCA6B3CDE9CU0lBH" TargetMode="External"/><Relationship Id="rId5" Type="http://schemas.openxmlformats.org/officeDocument/2006/relationships/hyperlink" Target="consultantplus://offline/ref=6D7517DA6817C8CCC8B3CDC5CB740AE009EDD76BD4B32FBC2D8ACCC90683514107637BA44C3DF7E0E401AFB893U7l3H" TargetMode="External"/><Relationship Id="rId4" Type="http://schemas.openxmlformats.org/officeDocument/2006/relationships/hyperlink" Target="consultantplus://offline/ref=6D7517DA6817C8CCC8B3CDC5CB740AE009EDD96ADCB22FBC2D8ACCC90683514107637BA44C3DF7E0E401AFB893U7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Гапонова</dc:creator>
  <cp:keywords/>
  <dc:description/>
  <cp:lastModifiedBy>Asus</cp:lastModifiedBy>
  <cp:revision>2</cp:revision>
  <dcterms:created xsi:type="dcterms:W3CDTF">2021-04-28T13:18:00Z</dcterms:created>
  <dcterms:modified xsi:type="dcterms:W3CDTF">2021-04-28T13:18:00Z</dcterms:modified>
</cp:coreProperties>
</file>